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4968" w14:textId="3C1A0F7F" w:rsidR="009E6F11" w:rsidRPr="002970F9" w:rsidRDefault="009E6F11" w:rsidP="002970F9">
      <w:pPr>
        <w:spacing w:before="240" w:after="240" w:line="360" w:lineRule="atLeast"/>
        <w:ind w:left="45" w:right="45"/>
        <w:jc w:val="center"/>
        <w:rPr>
          <w:color w:val="000000"/>
        </w:rPr>
      </w:pPr>
      <w:r w:rsidRPr="003E7D95">
        <w:rPr>
          <w:b/>
          <w:bCs/>
          <w:color w:val="C45911" w:themeColor="accent2" w:themeShade="BF"/>
          <w:u w:val="single" w:color="000000"/>
        </w:rPr>
        <w:t>CONDITIONS GÉNÉRALES</w:t>
      </w:r>
      <w:r w:rsidRPr="003E7D95">
        <w:rPr>
          <w:b/>
          <w:bCs/>
          <w:color w:val="C45911" w:themeColor="accent2" w:themeShade="BF"/>
          <w:u w:val="single" w:color="000000"/>
        </w:rPr>
        <w:br/>
      </w:r>
      <w:r>
        <w:rPr>
          <w:b/>
          <w:bCs/>
          <w:color w:val="000000"/>
          <w:u w:val="single" w:color="000000"/>
        </w:rPr>
        <w:br/>
      </w:r>
      <w:r>
        <w:rPr>
          <w:color w:val="000000"/>
        </w:rPr>
        <w:t xml:space="preserve">Les présentes conditions générales régissent l’utilisation de ce site </w:t>
      </w:r>
      <w:hyperlink r:id="rId7" w:history="1">
        <w:r w:rsidR="002970F9" w:rsidRPr="00A55BCC">
          <w:rPr>
            <w:rStyle w:val="Lienhypertexte"/>
          </w:rPr>
          <w:t>www.roderickowen.fr</w:t>
        </w:r>
      </w:hyperlink>
      <w:r>
        <w:rPr>
          <w:color w:val="000000"/>
        </w:rPr>
        <w:br/>
        <w:t xml:space="preserve">Ce site appartient et est géré par </w:t>
      </w:r>
      <w:r w:rsidR="002970F9">
        <w:rPr>
          <w:color w:val="000000"/>
        </w:rPr>
        <w:t xml:space="preserve">l’artiste </w:t>
      </w:r>
      <w:r>
        <w:rPr>
          <w:color w:val="000000"/>
        </w:rPr>
        <w:t xml:space="preserve">Roderick </w:t>
      </w:r>
      <w:r w:rsidR="00401A94">
        <w:rPr>
          <w:color w:val="000000"/>
        </w:rPr>
        <w:t>Owen.</w:t>
      </w:r>
      <w:r>
        <w:rPr>
          <w:color w:val="000000"/>
        </w:rPr>
        <w:br/>
        <w:t>En utilisant ce site, vous indiquez que vous avez lu et compris les conditions d’utilisation et que vous acceptez de les respecter en tout temps.</w:t>
      </w:r>
      <w:r>
        <w:rPr>
          <w:color w:val="000000"/>
        </w:rPr>
        <w:br/>
      </w:r>
      <w:r>
        <w:rPr>
          <w:color w:val="000000"/>
        </w:rPr>
        <w:br/>
        <w:t xml:space="preserve">Type de site : </w:t>
      </w:r>
      <w:r w:rsidR="00412C5B">
        <w:rPr>
          <w:color w:val="C45911" w:themeColor="accent2" w:themeShade="BF"/>
        </w:rPr>
        <w:t>E</w:t>
      </w:r>
      <w:r w:rsidRPr="00D8256C">
        <w:rPr>
          <w:color w:val="C45911" w:themeColor="accent2" w:themeShade="BF"/>
        </w:rPr>
        <w:t xml:space="preserve">-commerce </w:t>
      </w:r>
      <w:r w:rsidR="00BB2DD9">
        <w:rPr>
          <w:color w:val="C45911" w:themeColor="accent2" w:themeShade="BF"/>
        </w:rPr>
        <w:t xml:space="preserve">/ Vitrine </w:t>
      </w:r>
    </w:p>
    <w:p w14:paraId="5AD5C63D" w14:textId="3957524E" w:rsidR="009E6F11" w:rsidRDefault="009E6F11">
      <w:pPr>
        <w:spacing w:before="240" w:after="240" w:line="360" w:lineRule="atLeast"/>
        <w:ind w:left="45" w:right="45"/>
        <w:rPr>
          <w:color w:val="000000"/>
        </w:rPr>
      </w:pPr>
      <w:r>
        <w:rPr>
          <w:b/>
          <w:bCs/>
          <w:color w:val="000000"/>
          <w:u w:val="single" w:color="000000"/>
        </w:rPr>
        <w:t>Propriété intellectuelle</w:t>
      </w:r>
      <w:r>
        <w:rPr>
          <w:b/>
          <w:bCs/>
          <w:color w:val="000000"/>
          <w:u w:val="single" w:color="000000"/>
        </w:rPr>
        <w:br/>
      </w:r>
      <w:r>
        <w:rPr>
          <w:b/>
          <w:bCs/>
          <w:color w:val="000000"/>
          <w:u w:val="single" w:color="000000"/>
        </w:rPr>
        <w:br/>
      </w:r>
      <w:r>
        <w:rPr>
          <w:color w:val="000000"/>
        </w:rPr>
        <w:t xml:space="preserve">Tout contenu publié et mis à disposition sur ce site est la propriété de </w:t>
      </w:r>
      <w:r w:rsidR="00401A94">
        <w:rPr>
          <w:color w:val="000000"/>
        </w:rPr>
        <w:t>l’artiste</w:t>
      </w:r>
      <w:r>
        <w:rPr>
          <w:color w:val="000000"/>
        </w:rPr>
        <w:t xml:space="preserve"> et de ses créateurs. Cela comprend, mais n’est pas limité aux images, textes, logos, documents, fichiers téléchargeables et tout ce qui contribue à la composition de ce site. </w:t>
      </w:r>
    </w:p>
    <w:p w14:paraId="5622F97C" w14:textId="4C694DA2" w:rsidR="009E6F11" w:rsidRDefault="009E6F11">
      <w:pPr>
        <w:spacing w:before="240" w:after="240" w:line="360" w:lineRule="atLeast"/>
        <w:ind w:left="45" w:right="45"/>
        <w:rPr>
          <w:color w:val="000000"/>
        </w:rPr>
      </w:pPr>
      <w:r>
        <w:rPr>
          <w:b/>
          <w:bCs/>
          <w:color w:val="000000"/>
          <w:u w:val="single" w:color="000000"/>
        </w:rPr>
        <w:t>Utilisation acceptable</w:t>
      </w:r>
      <w:r>
        <w:rPr>
          <w:b/>
          <w:bCs/>
          <w:color w:val="000000"/>
          <w:u w:val="single" w:color="000000"/>
        </w:rPr>
        <w:br/>
      </w:r>
      <w:r>
        <w:rPr>
          <w:b/>
          <w:bCs/>
          <w:color w:val="000000"/>
          <w:u w:val="single" w:color="000000"/>
        </w:rPr>
        <w:br/>
      </w:r>
      <w:r>
        <w:rPr>
          <w:color w:val="000000"/>
        </w:rPr>
        <w:t xml:space="preserve">En tant qu’utilisateur, vous acceptez d’utiliser notre site légalement et de ne pas utiliser ce site pour des fins illicites, à savoir : </w:t>
      </w:r>
    </w:p>
    <w:p w14:paraId="16C9F665" w14:textId="77777777" w:rsidR="009E6F11" w:rsidRPr="003E7D95" w:rsidRDefault="009E6F11">
      <w:pPr>
        <w:pStyle w:val="outputPageli"/>
        <w:numPr>
          <w:ilvl w:val="0"/>
          <w:numId w:val="1"/>
        </w:numPr>
        <w:spacing w:before="240" w:after="360" w:line="360" w:lineRule="atLeast"/>
        <w:ind w:left="765" w:right="45" w:hanging="210"/>
        <w:rPr>
          <w:color w:val="C45911" w:themeColor="accent2" w:themeShade="BF"/>
        </w:rPr>
      </w:pPr>
      <w:r w:rsidRPr="003E7D95">
        <w:rPr>
          <w:color w:val="C45911" w:themeColor="accent2" w:themeShade="BF"/>
        </w:rPr>
        <w:t>Violer les droits de propriété intellectuelle des propriétaires du site ou de tout tiers au site</w:t>
      </w:r>
    </w:p>
    <w:p w14:paraId="5CFE4D31" w14:textId="77777777" w:rsidR="009E6F11" w:rsidRPr="003E7D95" w:rsidRDefault="009E6F11">
      <w:pPr>
        <w:pStyle w:val="outputPageli"/>
        <w:numPr>
          <w:ilvl w:val="0"/>
          <w:numId w:val="1"/>
        </w:numPr>
        <w:spacing w:after="360" w:line="360" w:lineRule="atLeast"/>
        <w:ind w:left="765" w:right="45" w:hanging="210"/>
        <w:rPr>
          <w:color w:val="C45911" w:themeColor="accent2" w:themeShade="BF"/>
        </w:rPr>
      </w:pPr>
      <w:r w:rsidRPr="003E7D95">
        <w:rPr>
          <w:color w:val="C45911" w:themeColor="accent2" w:themeShade="BF"/>
        </w:rPr>
        <w:t>Agir de toute façon qui pourrait être considérée comme frauduleuse</w:t>
      </w:r>
    </w:p>
    <w:p w14:paraId="22E43C1A" w14:textId="04B67404" w:rsidR="009E6F11" w:rsidRPr="003E7D95" w:rsidRDefault="009E6F11">
      <w:pPr>
        <w:pStyle w:val="outputPageli"/>
        <w:numPr>
          <w:ilvl w:val="0"/>
          <w:numId w:val="1"/>
        </w:numPr>
        <w:spacing w:after="240" w:line="360" w:lineRule="atLeast"/>
        <w:ind w:left="765" w:right="45" w:hanging="210"/>
        <w:rPr>
          <w:color w:val="C45911" w:themeColor="accent2" w:themeShade="BF"/>
        </w:rPr>
      </w:pPr>
      <w:r w:rsidRPr="003E7D95">
        <w:rPr>
          <w:color w:val="C45911" w:themeColor="accent2" w:themeShade="BF"/>
        </w:rPr>
        <w:t xml:space="preserve">Violation de la propriété intellectuelle </w:t>
      </w:r>
      <w:r w:rsidR="00401A94">
        <w:rPr>
          <w:color w:val="C45911" w:themeColor="accent2" w:themeShade="BF"/>
        </w:rPr>
        <w:t xml:space="preserve">de l’artiste </w:t>
      </w:r>
    </w:p>
    <w:p w14:paraId="28E2691E" w14:textId="77777777" w:rsidR="009E6F11" w:rsidRDefault="009E6F11">
      <w:pPr>
        <w:spacing w:before="240" w:after="240" w:line="360" w:lineRule="atLeast"/>
        <w:ind w:left="45" w:right="45"/>
        <w:rPr>
          <w:color w:val="000000"/>
        </w:rPr>
      </w:pPr>
      <w:r>
        <w:rPr>
          <w:color w:val="000000"/>
        </w:rPr>
        <w:t xml:space="preserve">Si nous estimons que vous utilisez ce site illégalement ou d’une manière qui viole les conditions d’utilisation acceptable ci-dessus, nous nous réservons le droit de limiter, suspendre ou résilier votre accès à ce site. Nous nous réservons également le droit de prendre toutes les mesures juridiques nécessaires pour vous empêcher d’accéder à notre site. </w:t>
      </w:r>
    </w:p>
    <w:p w14:paraId="10E77C2B" w14:textId="763E8C51" w:rsidR="009E6F11" w:rsidRDefault="009E6F11">
      <w:pPr>
        <w:spacing w:before="240" w:after="240" w:line="360" w:lineRule="atLeast"/>
        <w:ind w:left="45" w:right="45"/>
        <w:rPr>
          <w:color w:val="000000"/>
        </w:rPr>
      </w:pPr>
      <w:r>
        <w:rPr>
          <w:b/>
          <w:bCs/>
          <w:color w:val="000000"/>
          <w:u w:val="single" w:color="000000"/>
        </w:rPr>
        <w:t>Ventes des biens et services</w:t>
      </w:r>
      <w:r>
        <w:rPr>
          <w:b/>
          <w:bCs/>
          <w:color w:val="000000"/>
          <w:u w:val="single" w:color="000000"/>
        </w:rPr>
        <w:br/>
      </w:r>
      <w:r>
        <w:rPr>
          <w:color w:val="000000"/>
        </w:rPr>
        <w:t xml:space="preserve">Ce document régit la vente des biens mis à disposition sur notre site. </w:t>
      </w:r>
    </w:p>
    <w:p w14:paraId="1B93300D" w14:textId="77777777" w:rsidR="009E6F11" w:rsidRDefault="009E6F11">
      <w:pPr>
        <w:spacing w:before="240" w:after="240" w:line="360" w:lineRule="atLeast"/>
        <w:ind w:left="45" w:right="45"/>
        <w:rPr>
          <w:color w:val="000000"/>
        </w:rPr>
      </w:pPr>
      <w:r>
        <w:rPr>
          <w:color w:val="000000"/>
        </w:rPr>
        <w:t xml:space="preserve">Les biens que nous offrons comprennent : </w:t>
      </w:r>
    </w:p>
    <w:p w14:paraId="78A71F90" w14:textId="22D5E24C" w:rsidR="009E6F11" w:rsidRPr="003E7D95" w:rsidRDefault="009E6F11">
      <w:pPr>
        <w:pStyle w:val="outputPageli"/>
        <w:numPr>
          <w:ilvl w:val="0"/>
          <w:numId w:val="2"/>
        </w:numPr>
        <w:spacing w:before="240" w:after="240" w:line="360" w:lineRule="atLeast"/>
        <w:ind w:left="765" w:right="45" w:hanging="210"/>
        <w:rPr>
          <w:color w:val="C45911" w:themeColor="accent2" w:themeShade="BF"/>
        </w:rPr>
      </w:pPr>
      <w:r w:rsidRPr="003E7D95">
        <w:rPr>
          <w:color w:val="C45911" w:themeColor="accent2" w:themeShade="BF"/>
        </w:rPr>
        <w:t>Tableaux / Sculptures</w:t>
      </w:r>
      <w:r w:rsidR="004A29BD">
        <w:rPr>
          <w:color w:val="C45911" w:themeColor="accent2" w:themeShade="BF"/>
        </w:rPr>
        <w:t xml:space="preserve"> / Produit Dérivés </w:t>
      </w:r>
    </w:p>
    <w:p w14:paraId="3E72C409" w14:textId="5EAB9454" w:rsidR="009E6F11" w:rsidRDefault="009E6F11">
      <w:pPr>
        <w:spacing w:before="240" w:after="240" w:line="360" w:lineRule="atLeast"/>
        <w:ind w:left="45" w:right="45"/>
        <w:rPr>
          <w:color w:val="000000"/>
        </w:rPr>
      </w:pPr>
      <w:r>
        <w:rPr>
          <w:color w:val="000000"/>
        </w:rPr>
        <w:lastRenderedPageBreak/>
        <w:t xml:space="preserve">Les biens liés à ce document sont les biens qui sont affichés sur notre site au moment où vous y accédez. Cela comprend tous les produits énumérés comme étant en rupture de stock. Toutes les informations, descriptions ou images que nous fournissons sur nos biens sont décrites et présentées avec la plus grande précision possible. Cependant, nous ne sommes pas légalement tenus par ces informations, descriptions ou images car nous ne pouvons pas garantir l’exactitude de chaque produit ou service que nous fournissons. Vous acceptez d’acheter ces biens à vos propres risques. </w:t>
      </w:r>
    </w:p>
    <w:p w14:paraId="586AD130" w14:textId="491CA9BB" w:rsidR="004A29BD" w:rsidRPr="00BD179F" w:rsidRDefault="009E6F11" w:rsidP="00BD179F">
      <w:pPr>
        <w:spacing w:before="240" w:after="240" w:line="360" w:lineRule="atLeast"/>
        <w:ind w:left="45" w:right="45"/>
        <w:rPr>
          <w:color w:val="000000"/>
          <w:u w:val="single"/>
        </w:rPr>
      </w:pPr>
      <w:r>
        <w:rPr>
          <w:b/>
          <w:bCs/>
          <w:color w:val="000000"/>
          <w:u w:val="single" w:color="000000"/>
        </w:rPr>
        <w:t>Paiements</w:t>
      </w:r>
      <w:r>
        <w:rPr>
          <w:b/>
          <w:bCs/>
          <w:color w:val="000000"/>
          <w:u w:val="single" w:color="000000"/>
        </w:rPr>
        <w:br/>
      </w:r>
      <w:r w:rsidR="00BD179F" w:rsidRPr="00BD179F">
        <w:rPr>
          <w:color w:val="000000"/>
        </w:rPr>
        <w:t xml:space="preserve">- </w:t>
      </w:r>
      <w:r w:rsidR="00401A94" w:rsidRPr="00BD179F">
        <w:rPr>
          <w:color w:val="000000"/>
        </w:rPr>
        <w:t>Virement Bancaire</w:t>
      </w:r>
      <w:r w:rsidR="00BD179F" w:rsidRPr="00BD179F">
        <w:rPr>
          <w:color w:val="000000"/>
        </w:rPr>
        <w:t xml:space="preserve"> </w:t>
      </w:r>
      <w:r w:rsidR="002970F9" w:rsidRPr="00BD179F">
        <w:rPr>
          <w:color w:val="000000"/>
        </w:rPr>
        <w:t>–</w:t>
      </w:r>
      <w:r w:rsidR="00401A94" w:rsidRPr="00BD179F">
        <w:rPr>
          <w:color w:val="000000"/>
        </w:rPr>
        <w:t xml:space="preserve"> Chèques</w:t>
      </w:r>
      <w:r w:rsidR="00BD179F" w:rsidRPr="00BD179F">
        <w:rPr>
          <w:color w:val="000000"/>
        </w:rPr>
        <w:t xml:space="preserve"> (uniquement en France)</w:t>
      </w:r>
    </w:p>
    <w:p w14:paraId="5E3E058A" w14:textId="69C7010E" w:rsidR="00384004" w:rsidRDefault="004A29BD" w:rsidP="00401A94">
      <w:pPr>
        <w:spacing w:before="240" w:after="240" w:line="360" w:lineRule="atLeast"/>
        <w:ind w:left="45" w:right="45"/>
        <w:rPr>
          <w:color w:val="000000" w:themeColor="text1"/>
          <w:u w:val="single"/>
        </w:rPr>
      </w:pPr>
      <w:r w:rsidRPr="00BD179F">
        <w:rPr>
          <w:color w:val="000000"/>
        </w:rPr>
        <w:t>-</w:t>
      </w:r>
      <w:r>
        <w:rPr>
          <w:color w:val="000000"/>
        </w:rPr>
        <w:t xml:space="preserve"> Ouverture de Prix</w:t>
      </w:r>
      <w:r w:rsidR="00401A94">
        <w:rPr>
          <w:color w:val="000000"/>
        </w:rPr>
        <w:t xml:space="preserve"> </w:t>
      </w:r>
      <w:r w:rsidR="00BD179F">
        <w:rPr>
          <w:color w:val="000000"/>
        </w:rPr>
        <w:t xml:space="preserve">en ligne </w:t>
      </w:r>
      <w:r w:rsidR="00401A94">
        <w:rPr>
          <w:color w:val="000000"/>
        </w:rPr>
        <w:t xml:space="preserve">: </w:t>
      </w:r>
      <w:r w:rsidR="00384004" w:rsidRPr="00401A94">
        <w:rPr>
          <w:color w:val="000000" w:themeColor="text1"/>
          <w:u w:val="single"/>
        </w:rPr>
        <w:t>Carte bancaire</w:t>
      </w:r>
      <w:r w:rsidR="002670CF" w:rsidRPr="00401A94">
        <w:rPr>
          <w:color w:val="000000" w:themeColor="text1"/>
          <w:u w:val="single"/>
        </w:rPr>
        <w:t xml:space="preserve"> (</w:t>
      </w:r>
      <w:r w:rsidR="00BD179F" w:rsidRPr="00401A94">
        <w:rPr>
          <w:color w:val="000000" w:themeColor="text1"/>
          <w:u w:val="single"/>
        </w:rPr>
        <w:t>Strippe</w:t>
      </w:r>
      <w:r w:rsidR="002670CF" w:rsidRPr="00401A94">
        <w:rPr>
          <w:color w:val="000000" w:themeColor="text1"/>
          <w:u w:val="single"/>
        </w:rPr>
        <w:t xml:space="preserve"> Sécurité)</w:t>
      </w:r>
      <w:r w:rsidR="00384004" w:rsidRPr="00401A94">
        <w:rPr>
          <w:color w:val="000000" w:themeColor="text1"/>
          <w:u w:val="single"/>
        </w:rPr>
        <w:t xml:space="preserve"> / </w:t>
      </w:r>
      <w:r w:rsidR="00B040A8" w:rsidRPr="00401A94">
        <w:rPr>
          <w:color w:val="000000" w:themeColor="text1"/>
          <w:u w:val="single"/>
        </w:rPr>
        <w:t>PayPal</w:t>
      </w:r>
    </w:p>
    <w:p w14:paraId="1034B81B" w14:textId="12EE77F2" w:rsidR="00BD179F" w:rsidRPr="00401A94" w:rsidRDefault="00BD179F" w:rsidP="00401A94">
      <w:pPr>
        <w:spacing w:before="240" w:after="240" w:line="360" w:lineRule="atLeast"/>
        <w:ind w:left="45" w:right="45"/>
        <w:rPr>
          <w:color w:val="000000"/>
        </w:rPr>
      </w:pPr>
      <w:r w:rsidRPr="00BD179F">
        <w:rPr>
          <w:color w:val="000000"/>
        </w:rPr>
        <w:t xml:space="preserve">- </w:t>
      </w:r>
      <w:r>
        <w:rPr>
          <w:color w:val="000000"/>
        </w:rPr>
        <w:t xml:space="preserve">Lien de payement </w:t>
      </w:r>
    </w:p>
    <w:p w14:paraId="1D179DD1" w14:textId="38F7BA23" w:rsidR="00384004" w:rsidRPr="00384004" w:rsidRDefault="00384004" w:rsidP="00384004">
      <w:pPr>
        <w:spacing w:before="240" w:after="240" w:line="360" w:lineRule="atLeast"/>
        <w:ind w:right="45"/>
        <w:jc w:val="center"/>
        <w:rPr>
          <w:color w:val="000000"/>
          <w:u w:val="single"/>
        </w:rPr>
      </w:pPr>
      <w:r>
        <w:rPr>
          <w:color w:val="C45911" w:themeColor="accent2" w:themeShade="BF"/>
          <w:u w:val="single"/>
        </w:rPr>
        <w:t xml:space="preserve">Produit dérivés achat directement sur notre site </w:t>
      </w:r>
    </w:p>
    <w:p w14:paraId="2B3DF1BB" w14:textId="5A7A532B" w:rsidR="009E6F11" w:rsidRDefault="009E6F11" w:rsidP="00384004">
      <w:pPr>
        <w:spacing w:before="240" w:after="240" w:line="360" w:lineRule="atLeast"/>
        <w:ind w:right="45"/>
        <w:rPr>
          <w:color w:val="000000"/>
        </w:rPr>
      </w:pPr>
      <w:r>
        <w:rPr>
          <w:color w:val="000000"/>
        </w:rPr>
        <w:t>Lorsque vous nous fournissez vos renseignements de paiement, vous nous confirmez que vous avez autorisé l’utilisation et l’accès à l’instrument de paiement que vous avez choisi d’utiliser. En nous fournissant vos détails de paiement, vous confirmez que vous nous autorisez à facturer le montant dû à cet instrument de paiement.</w:t>
      </w:r>
      <w:r>
        <w:rPr>
          <w:color w:val="000000"/>
        </w:rPr>
        <w:br/>
        <w:t xml:space="preserve">Si nous estimons que votre paiement a violé une loi ou l’une de nos conditions d’utilisation, nous nous réservons le droit d’annuler votre transaction. </w:t>
      </w:r>
    </w:p>
    <w:p w14:paraId="4D6771E3" w14:textId="77777777" w:rsidR="00BB2DD9" w:rsidRDefault="009E6F11" w:rsidP="00BB2DD9">
      <w:pPr>
        <w:spacing w:before="240" w:after="240" w:line="360" w:lineRule="atLeast"/>
        <w:ind w:left="45" w:right="45"/>
        <w:rPr>
          <w:color w:val="000000"/>
        </w:rPr>
      </w:pPr>
      <w:r>
        <w:rPr>
          <w:b/>
          <w:bCs/>
          <w:color w:val="000000"/>
          <w:u w:val="single" w:color="000000"/>
        </w:rPr>
        <w:t>Transport et livraison</w:t>
      </w:r>
      <w:r>
        <w:rPr>
          <w:b/>
          <w:bCs/>
          <w:color w:val="000000"/>
          <w:u w:val="single" w:color="000000"/>
        </w:rPr>
        <w:br/>
      </w:r>
      <w:r>
        <w:rPr>
          <w:b/>
          <w:bCs/>
          <w:color w:val="000000"/>
          <w:u w:val="single" w:color="000000"/>
        </w:rPr>
        <w:br/>
      </w:r>
      <w:r>
        <w:rPr>
          <w:color w:val="000000"/>
        </w:rPr>
        <w:t xml:space="preserve">Lorsque vous effectuez un achat sur notre site, vous acceptez et reconnaissez de fournir un email valide et une adresse d’expédition pour la commande. Nous nous réservons le droit de modifier, rejeter ou annuler votre commande chaque fois que cela devient nécessaire. Si nous annulons votre commande et avons déjà traité votre paiement, nous vous donnerons un remboursement équivalent au montant que vous avez payé. Vous convenez qu’il vous incombe de surveiller votre mode de paiement. Bien que nous visions à vous fournir une estimation précise des délais et des coûts d’expédition, ceux-ci peuvent varier en raison de circonstances imprévues. </w:t>
      </w:r>
    </w:p>
    <w:p w14:paraId="030C6EE3" w14:textId="6DF43A24" w:rsidR="009E6F11" w:rsidRDefault="009E6F11" w:rsidP="00BB2DD9">
      <w:pPr>
        <w:spacing w:before="240" w:after="240" w:line="360" w:lineRule="atLeast"/>
        <w:ind w:left="45" w:right="45"/>
        <w:rPr>
          <w:color w:val="000000"/>
        </w:rPr>
      </w:pPr>
      <w:r>
        <w:rPr>
          <w:b/>
          <w:bCs/>
          <w:color w:val="000000"/>
          <w:u w:val="single" w:color="000000"/>
        </w:rPr>
        <w:t>Remboursement</w:t>
      </w:r>
      <w:r>
        <w:rPr>
          <w:b/>
          <w:bCs/>
          <w:color w:val="000000"/>
          <w:u w:val="single" w:color="000000"/>
        </w:rPr>
        <w:br/>
      </w:r>
      <w:r>
        <w:rPr>
          <w:b/>
          <w:bCs/>
          <w:color w:val="000000"/>
          <w:u w:val="single" w:color="000000"/>
        </w:rPr>
        <w:br/>
      </w:r>
      <w:r w:rsidR="004A29BD">
        <w:rPr>
          <w:i/>
          <w:iCs/>
          <w:color w:val="000000"/>
        </w:rPr>
        <w:t>Remboursement</w:t>
      </w:r>
      <w:r>
        <w:rPr>
          <w:i/>
          <w:iCs/>
          <w:color w:val="000000"/>
        </w:rPr>
        <w:t xml:space="preserve"> des biens</w:t>
      </w:r>
    </w:p>
    <w:p w14:paraId="0F06B763" w14:textId="0591966C" w:rsidR="009E6F11" w:rsidRDefault="009E6F11">
      <w:pPr>
        <w:spacing w:before="240" w:after="240" w:line="360" w:lineRule="atLeast"/>
        <w:ind w:left="45" w:right="45"/>
        <w:rPr>
          <w:color w:val="000000"/>
        </w:rPr>
      </w:pPr>
      <w:r>
        <w:rPr>
          <w:color w:val="000000"/>
        </w:rPr>
        <w:lastRenderedPageBreak/>
        <w:t>Nous acceptons les demandes de remboursement</w:t>
      </w:r>
      <w:r w:rsidR="00731469">
        <w:rPr>
          <w:color w:val="000000"/>
        </w:rPr>
        <w:t xml:space="preserve"> et d’échange </w:t>
      </w:r>
      <w:r>
        <w:rPr>
          <w:color w:val="000000"/>
        </w:rPr>
        <w:t>sur notre site pour</w:t>
      </w:r>
      <w:r w:rsidR="00BB2DD9">
        <w:rPr>
          <w:color w:val="000000"/>
        </w:rPr>
        <w:t xml:space="preserve"> œuvres et produit dérivés </w:t>
      </w:r>
      <w:r w:rsidR="00A965C4">
        <w:rPr>
          <w:color w:val="000000"/>
        </w:rPr>
        <w:t xml:space="preserve">correspondant </w:t>
      </w:r>
      <w:r>
        <w:rPr>
          <w:color w:val="000000"/>
        </w:rPr>
        <w:t xml:space="preserve">à l’une des exigences suivantes : </w:t>
      </w:r>
    </w:p>
    <w:p w14:paraId="0FB60EEE" w14:textId="67A40D0D" w:rsidR="009E6F11" w:rsidRPr="003E7D95" w:rsidRDefault="00A965C4">
      <w:pPr>
        <w:pStyle w:val="outputPageli"/>
        <w:numPr>
          <w:ilvl w:val="0"/>
          <w:numId w:val="4"/>
        </w:numPr>
        <w:spacing w:before="240" w:after="360" w:line="360" w:lineRule="atLeast"/>
        <w:ind w:left="765" w:right="45" w:hanging="280"/>
        <w:rPr>
          <w:color w:val="C45911" w:themeColor="accent2" w:themeShade="BF"/>
        </w:rPr>
      </w:pPr>
      <w:r w:rsidRPr="003E7D95">
        <w:rPr>
          <w:color w:val="C45911" w:themeColor="accent2" w:themeShade="BF"/>
        </w:rPr>
        <w:t>Le</w:t>
      </w:r>
      <w:r w:rsidR="009E6F11" w:rsidRPr="003E7D95">
        <w:rPr>
          <w:color w:val="C45911" w:themeColor="accent2" w:themeShade="BF"/>
        </w:rPr>
        <w:t xml:space="preserve"> bien est cassé</w:t>
      </w:r>
      <w:r w:rsidRPr="003E7D95">
        <w:rPr>
          <w:color w:val="C45911" w:themeColor="accent2" w:themeShade="BF"/>
        </w:rPr>
        <w:t xml:space="preserve"> à la réception </w:t>
      </w:r>
    </w:p>
    <w:p w14:paraId="1319B5D8" w14:textId="77777777" w:rsidR="004A29BD" w:rsidRPr="003E7D95" w:rsidRDefault="004A29BD" w:rsidP="004A29BD">
      <w:pPr>
        <w:pStyle w:val="outputPageli"/>
        <w:numPr>
          <w:ilvl w:val="0"/>
          <w:numId w:val="4"/>
        </w:numPr>
        <w:spacing w:after="360" w:line="360" w:lineRule="atLeast"/>
        <w:ind w:left="765" w:right="45" w:hanging="280"/>
        <w:rPr>
          <w:color w:val="C45911" w:themeColor="accent2" w:themeShade="BF"/>
        </w:rPr>
      </w:pPr>
      <w:r w:rsidRPr="003E7D95">
        <w:rPr>
          <w:color w:val="C45911" w:themeColor="accent2" w:themeShade="BF"/>
        </w:rPr>
        <w:t xml:space="preserve">Produit Endommagé à la réception </w:t>
      </w:r>
    </w:p>
    <w:p w14:paraId="39C217C8" w14:textId="77777777" w:rsidR="009E6F11" w:rsidRPr="003E7D95" w:rsidRDefault="009E6F11">
      <w:pPr>
        <w:pStyle w:val="outputPageli"/>
        <w:numPr>
          <w:ilvl w:val="0"/>
          <w:numId w:val="4"/>
        </w:numPr>
        <w:spacing w:after="240" w:line="360" w:lineRule="atLeast"/>
        <w:ind w:left="765" w:right="45" w:hanging="280"/>
        <w:rPr>
          <w:color w:val="C45911" w:themeColor="accent2" w:themeShade="BF"/>
        </w:rPr>
      </w:pPr>
      <w:r w:rsidRPr="003E7D95">
        <w:rPr>
          <w:color w:val="C45911" w:themeColor="accent2" w:themeShade="BF"/>
        </w:rPr>
        <w:t>Le produit livré n'est pas le bon</w:t>
      </w:r>
    </w:p>
    <w:p w14:paraId="66172D32" w14:textId="0BFEFC71" w:rsidR="009E6F11" w:rsidRDefault="009E6F11">
      <w:pPr>
        <w:spacing w:before="240" w:after="240" w:line="360" w:lineRule="atLeast"/>
        <w:ind w:left="45" w:right="45"/>
        <w:rPr>
          <w:color w:val="000000"/>
        </w:rPr>
      </w:pPr>
      <w:r>
        <w:rPr>
          <w:color w:val="000000"/>
        </w:rPr>
        <w:t>Les demandes de remboursement</w:t>
      </w:r>
      <w:r w:rsidR="00731469">
        <w:rPr>
          <w:color w:val="000000"/>
        </w:rPr>
        <w:t xml:space="preserve"> et d’échange peuvent</w:t>
      </w:r>
      <w:r>
        <w:rPr>
          <w:color w:val="000000"/>
        </w:rPr>
        <w:t xml:space="preserve"> être faites dans les délais de </w:t>
      </w:r>
      <w:r w:rsidRPr="00E868CC">
        <w:rPr>
          <w:color w:val="C45911" w:themeColor="accent2" w:themeShade="BF"/>
        </w:rPr>
        <w:t xml:space="preserve">14 </w:t>
      </w:r>
      <w:r w:rsidR="00D62170" w:rsidRPr="00E868CC">
        <w:rPr>
          <w:color w:val="C45911" w:themeColor="accent2" w:themeShade="BF"/>
        </w:rPr>
        <w:t xml:space="preserve">jours </w:t>
      </w:r>
      <w:r>
        <w:rPr>
          <w:color w:val="000000"/>
        </w:rPr>
        <w:t>après la réception de vos biens.</w:t>
      </w:r>
      <w:r w:rsidR="00BB2DD9">
        <w:rPr>
          <w:color w:val="000000"/>
        </w:rPr>
        <w:t xml:space="preserve"> </w:t>
      </w:r>
    </w:p>
    <w:p w14:paraId="096B2EE9" w14:textId="68FF83D2" w:rsidR="009E6F11" w:rsidRPr="00A965C4" w:rsidRDefault="009E6F11" w:rsidP="00A965C4">
      <w:pPr>
        <w:pStyle w:val="outputPageli"/>
        <w:numPr>
          <w:ilvl w:val="0"/>
          <w:numId w:val="5"/>
        </w:numPr>
        <w:spacing w:before="240" w:after="240" w:line="360" w:lineRule="atLeast"/>
        <w:ind w:left="45" w:right="45" w:hanging="280"/>
        <w:rPr>
          <w:color w:val="000000"/>
        </w:rPr>
      </w:pPr>
      <w:r w:rsidRPr="00A965C4">
        <w:rPr>
          <w:b/>
          <w:bCs/>
          <w:color w:val="000000"/>
          <w:u w:val="single" w:color="000000"/>
        </w:rPr>
        <w:t>Retours</w:t>
      </w:r>
    </w:p>
    <w:p w14:paraId="08A5BA65" w14:textId="5379EFEC" w:rsidR="00401A94" w:rsidRDefault="00BB2DD9" w:rsidP="00401A94">
      <w:pPr>
        <w:spacing w:before="240" w:after="240" w:line="360" w:lineRule="atLeast"/>
        <w:ind w:left="45" w:right="45"/>
        <w:rPr>
          <w:color w:val="000000"/>
        </w:rPr>
      </w:pPr>
      <w:r>
        <w:rPr>
          <w:color w:val="000000"/>
        </w:rPr>
        <w:t xml:space="preserve">Procédure de Retour : </w:t>
      </w:r>
      <w:r w:rsidR="009E6F11">
        <w:rPr>
          <w:color w:val="000000"/>
        </w:rPr>
        <w:t xml:space="preserve"> </w:t>
      </w:r>
      <w:r w:rsidR="009E6F11">
        <w:rPr>
          <w:color w:val="000000"/>
        </w:rPr>
        <w:br/>
      </w:r>
      <w:r>
        <w:rPr>
          <w:color w:val="000000"/>
        </w:rPr>
        <w:t xml:space="preserve">Retour : </w:t>
      </w:r>
      <w:r w:rsidR="009E6F11">
        <w:rPr>
          <w:color w:val="000000"/>
        </w:rPr>
        <w:t>39 rue Montmailler 87000 Limoges France / Entreprise</w:t>
      </w:r>
      <w:r w:rsidR="002970F9">
        <w:rPr>
          <w:color w:val="000000"/>
        </w:rPr>
        <w:t xml:space="preserve"> Roderick Canin </w:t>
      </w:r>
      <w:r w:rsidR="009E6F11">
        <w:rPr>
          <w:color w:val="000000"/>
        </w:rPr>
        <w:br/>
      </w:r>
      <w:r>
        <w:rPr>
          <w:color w:val="000000"/>
        </w:rPr>
        <w:t>V</w:t>
      </w:r>
      <w:r w:rsidR="009E6F11">
        <w:rPr>
          <w:color w:val="000000"/>
        </w:rPr>
        <w:t>otre remboursement sera traité et crédité automatiquement sur votre carte de crédit ou bien, votre</w:t>
      </w:r>
      <w:r>
        <w:rPr>
          <w:color w:val="000000"/>
        </w:rPr>
        <w:t xml:space="preserve"> bien </w:t>
      </w:r>
      <w:r w:rsidR="009E6F11">
        <w:rPr>
          <w:color w:val="000000"/>
        </w:rPr>
        <w:t>vous sera échangée et renvoyer gratuitement, incluant le remboursement de</w:t>
      </w:r>
      <w:r w:rsidR="00D62170">
        <w:rPr>
          <w:color w:val="000000"/>
        </w:rPr>
        <w:t xml:space="preserve"> vos frais de retour initial</w:t>
      </w:r>
      <w:r w:rsidR="009E6F11">
        <w:rPr>
          <w:color w:val="000000"/>
        </w:rPr>
        <w:t xml:space="preserve">. </w:t>
      </w:r>
    </w:p>
    <w:p w14:paraId="63B5A907" w14:textId="3ED1909D" w:rsidR="00D62170" w:rsidRPr="00BB2DD9" w:rsidRDefault="009E6F11" w:rsidP="00401A94">
      <w:pPr>
        <w:spacing w:before="240" w:after="240" w:line="360" w:lineRule="atLeast"/>
        <w:ind w:left="45" w:right="45"/>
        <w:rPr>
          <w:color w:val="000000"/>
        </w:rPr>
      </w:pPr>
      <w:r>
        <w:rPr>
          <w:color w:val="000000"/>
        </w:rPr>
        <w:t xml:space="preserve">En fonction de votre lieu de résidence ou de votre date de commande, le temps nécessaire pour que votre </w:t>
      </w:r>
      <w:r w:rsidR="00BB2DD9">
        <w:rPr>
          <w:color w:val="000000"/>
        </w:rPr>
        <w:t>bien</w:t>
      </w:r>
      <w:r>
        <w:rPr>
          <w:color w:val="000000"/>
        </w:rPr>
        <w:t xml:space="preserve"> soit échangé ou remboursé peut varier de </w:t>
      </w:r>
      <w:r w:rsidR="00D62170">
        <w:rPr>
          <w:color w:val="000000"/>
        </w:rPr>
        <w:t>21</w:t>
      </w:r>
      <w:r>
        <w:rPr>
          <w:color w:val="000000"/>
        </w:rPr>
        <w:t xml:space="preserve"> à 30 jours. </w:t>
      </w:r>
      <w:r>
        <w:rPr>
          <w:color w:val="000000"/>
        </w:rPr>
        <w:br/>
      </w:r>
      <w:r w:rsidR="00BB2DD9">
        <w:rPr>
          <w:color w:val="C45911" w:themeColor="accent2" w:themeShade="BF"/>
        </w:rPr>
        <w:t xml:space="preserve">Pour plus d’information, nous contacter. </w:t>
      </w:r>
      <w:r w:rsidRPr="00E868CC">
        <w:rPr>
          <w:color w:val="C45911" w:themeColor="accent2" w:themeShade="BF"/>
        </w:rPr>
        <w:t xml:space="preserve"> </w:t>
      </w:r>
    </w:p>
    <w:p w14:paraId="01B7D1FB" w14:textId="2920D7C0" w:rsidR="009E6F11" w:rsidRDefault="009E6F11">
      <w:pPr>
        <w:spacing w:before="240" w:after="240" w:line="360" w:lineRule="atLeast"/>
        <w:ind w:left="45" w:right="45"/>
        <w:rPr>
          <w:color w:val="000000"/>
        </w:rPr>
      </w:pPr>
      <w:r w:rsidRPr="00E868CC">
        <w:rPr>
          <w:b/>
          <w:bCs/>
          <w:color w:val="C45911" w:themeColor="accent2" w:themeShade="BF"/>
          <w:u w:val="single" w:color="000000"/>
        </w:rPr>
        <w:t>Limitation de responsabilité</w:t>
      </w:r>
      <w:r w:rsidRPr="00E868CC">
        <w:rPr>
          <w:b/>
          <w:bCs/>
          <w:color w:val="C45911" w:themeColor="accent2" w:themeShade="BF"/>
          <w:u w:val="single" w:color="000000"/>
        </w:rPr>
        <w:br/>
      </w:r>
      <w:r>
        <w:rPr>
          <w:b/>
          <w:bCs/>
          <w:color w:val="000000"/>
          <w:u w:val="single" w:color="000000"/>
        </w:rPr>
        <w:br/>
      </w:r>
      <w:r>
        <w:rPr>
          <w:color w:val="000000"/>
        </w:rPr>
        <w:t xml:space="preserve">Roderick </w:t>
      </w:r>
      <w:r w:rsidR="002970F9">
        <w:rPr>
          <w:color w:val="000000"/>
        </w:rPr>
        <w:t>Owen</w:t>
      </w:r>
      <w:r>
        <w:rPr>
          <w:color w:val="000000"/>
        </w:rPr>
        <w:t xml:space="preserve"> ou l’un de ses employés sera tenu responsable de tout problème découlant de ce site. Néanmoins, Roderick Canin et ses employés ne seront pas tenus responsables de tout problème découlant de toute utilisation irrégulière de ce site. </w:t>
      </w:r>
    </w:p>
    <w:p w14:paraId="03FF2BAE" w14:textId="044E38E8" w:rsidR="009E6F11" w:rsidRDefault="009E6F11">
      <w:pPr>
        <w:spacing w:before="240" w:after="240" w:line="360" w:lineRule="atLeast"/>
        <w:ind w:left="45" w:right="45"/>
        <w:rPr>
          <w:color w:val="000000"/>
        </w:rPr>
      </w:pPr>
      <w:r w:rsidRPr="00E868CC">
        <w:rPr>
          <w:b/>
          <w:bCs/>
          <w:color w:val="C45911" w:themeColor="accent2" w:themeShade="BF"/>
          <w:u w:val="single" w:color="000000"/>
        </w:rPr>
        <w:t>Indemnité</w:t>
      </w:r>
      <w:r w:rsidRPr="00E868CC">
        <w:rPr>
          <w:b/>
          <w:bCs/>
          <w:color w:val="C45911" w:themeColor="accent2" w:themeShade="BF"/>
          <w:u w:val="single" w:color="000000"/>
        </w:rPr>
        <w:br/>
      </w:r>
      <w:r>
        <w:rPr>
          <w:b/>
          <w:bCs/>
          <w:color w:val="000000"/>
          <w:u w:val="single" w:color="000000"/>
        </w:rPr>
        <w:br/>
      </w:r>
      <w:r>
        <w:rPr>
          <w:color w:val="000000"/>
        </w:rPr>
        <w:t xml:space="preserve">En tant qu’utilisateur, vous indemnisez par les présentes Roderick </w:t>
      </w:r>
      <w:r w:rsidR="002970F9">
        <w:rPr>
          <w:color w:val="000000"/>
        </w:rPr>
        <w:t>Owen</w:t>
      </w:r>
      <w:r>
        <w:rPr>
          <w:color w:val="000000"/>
        </w:rPr>
        <w:t xml:space="preserve"> de toute responsabilité, de tout coût, de toute cause d’action, de tout dommage ou de toute dépense découlant de votre utilisation de ce site ou de votre violation de l’une des dispositions énoncées dans le présent document. </w:t>
      </w:r>
    </w:p>
    <w:p w14:paraId="6F3B6D1B" w14:textId="77777777" w:rsidR="009E6F11" w:rsidRDefault="009E6F11">
      <w:pPr>
        <w:spacing w:before="240" w:after="240" w:line="360" w:lineRule="atLeast"/>
        <w:ind w:left="45" w:right="45"/>
        <w:rPr>
          <w:color w:val="000000"/>
        </w:rPr>
      </w:pPr>
      <w:r w:rsidRPr="00E868CC">
        <w:rPr>
          <w:b/>
          <w:bCs/>
          <w:color w:val="C45911" w:themeColor="accent2" w:themeShade="BF"/>
          <w:u w:val="single" w:color="000000"/>
        </w:rPr>
        <w:t>Lois applicables</w:t>
      </w:r>
      <w:r w:rsidRPr="00E868CC">
        <w:rPr>
          <w:b/>
          <w:bCs/>
          <w:color w:val="000000"/>
          <w:u w:val="single" w:color="000000"/>
        </w:rPr>
        <w:br/>
      </w:r>
      <w:r>
        <w:rPr>
          <w:b/>
          <w:bCs/>
          <w:color w:val="000000"/>
          <w:u w:val="single" w:color="000000"/>
        </w:rPr>
        <w:br/>
      </w:r>
      <w:r>
        <w:rPr>
          <w:color w:val="000000"/>
        </w:rPr>
        <w:lastRenderedPageBreak/>
        <w:t xml:space="preserve">Ce document est soumis aux lois applicables en France et vise à se conformer à ses règles et règlements nécessaires. Cela inclut la réglementation à l’échelle de l’UE énoncée dans le RGPD. </w:t>
      </w:r>
    </w:p>
    <w:p w14:paraId="55D58CCC" w14:textId="4656BD1C" w:rsidR="009E6F11" w:rsidRDefault="009E6F11">
      <w:pPr>
        <w:spacing w:before="240" w:after="240" w:line="360" w:lineRule="atLeast"/>
        <w:ind w:left="45" w:right="45"/>
        <w:rPr>
          <w:color w:val="000000"/>
        </w:rPr>
      </w:pPr>
      <w:r w:rsidRPr="00E868CC">
        <w:rPr>
          <w:b/>
          <w:bCs/>
          <w:color w:val="C45911" w:themeColor="accent2" w:themeShade="BF"/>
          <w:u w:val="single" w:color="000000"/>
        </w:rPr>
        <w:t>Divisibilité</w:t>
      </w:r>
      <w:r w:rsidRPr="00E868CC">
        <w:rPr>
          <w:b/>
          <w:bCs/>
          <w:color w:val="C45911" w:themeColor="accent2" w:themeShade="BF"/>
          <w:u w:val="single" w:color="000000"/>
        </w:rPr>
        <w:br/>
      </w:r>
      <w:r>
        <w:rPr>
          <w:b/>
          <w:bCs/>
          <w:color w:val="000000"/>
          <w:u w:val="single" w:color="000000"/>
        </w:rPr>
        <w:br/>
      </w:r>
      <w:r>
        <w:rPr>
          <w:color w:val="000000"/>
        </w:rPr>
        <w:t xml:space="preserve">Si, à tout moment, l’une des dispositions énoncées dans le présent document est jugée incompatible ou invalide en vertu des lois applicables, ces dispositions seront considérées comme nulles et seront retirées du présent document. Toutes les autres dispositions ne seront pas touchées par les lois et le reste du document sera toujours considéré comme valide. </w:t>
      </w:r>
    </w:p>
    <w:p w14:paraId="7C8763AB" w14:textId="0BD600B8" w:rsidR="009E6F11" w:rsidRDefault="009E6F11">
      <w:pPr>
        <w:spacing w:before="240" w:after="240" w:line="360" w:lineRule="atLeast"/>
        <w:ind w:left="45" w:right="45"/>
        <w:rPr>
          <w:color w:val="000000"/>
        </w:rPr>
      </w:pPr>
      <w:r w:rsidRPr="00E868CC">
        <w:rPr>
          <w:b/>
          <w:bCs/>
          <w:color w:val="C45911" w:themeColor="accent2" w:themeShade="BF"/>
          <w:u w:val="single" w:color="000000"/>
        </w:rPr>
        <w:t>Modifications</w:t>
      </w:r>
      <w:r w:rsidRPr="00E868CC">
        <w:rPr>
          <w:b/>
          <w:bCs/>
          <w:color w:val="C45911" w:themeColor="accent2" w:themeShade="BF"/>
          <w:u w:val="single" w:color="000000"/>
        </w:rPr>
        <w:br/>
      </w:r>
      <w:r>
        <w:rPr>
          <w:b/>
          <w:bCs/>
          <w:color w:val="000000"/>
          <w:u w:val="single" w:color="000000"/>
        </w:rPr>
        <w:br/>
      </w:r>
      <w:r>
        <w:rPr>
          <w:color w:val="000000"/>
        </w:rPr>
        <w:t xml:space="preserve">Ces conditions générales peuvent être modifiées de temps à autre afin de maintenir le respect de la loi et de refléter tout changement à la façon dont nous gérons notre site et la façon dont nous nous attendons à ce que les utilisateurs se comportent sur notre site. Nous recommandons à nos utilisateurs de vérifier ces conditions générales de temps à autre pour s’assurer qu’ils sont informés de toute mise à jour. Au besoin, nous informerons les utilisateurs par courriel des changements apportés à ces conditions </w:t>
      </w:r>
      <w:r w:rsidR="002670CF">
        <w:rPr>
          <w:color w:val="000000"/>
        </w:rPr>
        <w:t>où</w:t>
      </w:r>
      <w:r>
        <w:rPr>
          <w:color w:val="000000"/>
        </w:rPr>
        <w:t xml:space="preserve"> nous afficherons un avis sur notre site. </w:t>
      </w:r>
    </w:p>
    <w:p w14:paraId="6395E491" w14:textId="77777777" w:rsidR="002970F9" w:rsidRDefault="009E6F11" w:rsidP="004167CB">
      <w:pPr>
        <w:pStyle w:val="NormalWeb"/>
        <w:spacing w:before="0" w:beforeAutospacing="0" w:after="0" w:afterAutospacing="0"/>
        <w:textAlignment w:val="baseline"/>
        <w:rPr>
          <w:color w:val="000000"/>
        </w:rPr>
      </w:pPr>
      <w:r w:rsidRPr="00E868CC">
        <w:rPr>
          <w:b/>
          <w:bCs/>
          <w:color w:val="C45911" w:themeColor="accent2" w:themeShade="BF"/>
          <w:u w:val="single" w:color="000000"/>
        </w:rPr>
        <w:t>Contact</w:t>
      </w:r>
      <w:r w:rsidRPr="00E868CC">
        <w:rPr>
          <w:b/>
          <w:bCs/>
          <w:color w:val="000000"/>
          <w:u w:val="single" w:color="000000"/>
        </w:rPr>
        <w:br/>
      </w:r>
      <w:r>
        <w:rPr>
          <w:b/>
          <w:bCs/>
          <w:color w:val="000000"/>
          <w:u w:val="single" w:color="000000"/>
        </w:rPr>
        <w:br/>
      </w:r>
      <w:r>
        <w:rPr>
          <w:color w:val="000000"/>
        </w:rPr>
        <w:t xml:space="preserve">Veuillez communiquer avec nous si vous avez des questions ou des préoccupations. </w:t>
      </w:r>
    </w:p>
    <w:p w14:paraId="144ADD2B" w14:textId="1A6659F6" w:rsidR="004167CB" w:rsidRPr="00720817" w:rsidRDefault="009E6F11" w:rsidP="004167CB">
      <w:pPr>
        <w:pStyle w:val="NormalWeb"/>
        <w:spacing w:before="0" w:beforeAutospacing="0" w:after="0" w:afterAutospacing="0"/>
        <w:textAlignment w:val="baseline"/>
        <w:rPr>
          <w:color w:val="C45911" w:themeColor="accent2" w:themeShade="BF"/>
        </w:rPr>
      </w:pPr>
      <w:r>
        <w:rPr>
          <w:color w:val="000000"/>
        </w:rPr>
        <w:t>Nos coordonnées sont les suivantes :</w:t>
      </w:r>
      <w:r>
        <w:rPr>
          <w:color w:val="000000"/>
        </w:rPr>
        <w:br/>
      </w:r>
    </w:p>
    <w:p w14:paraId="68FE6400" w14:textId="057A430D" w:rsidR="004167CB" w:rsidRPr="00401A94" w:rsidRDefault="00401A94" w:rsidP="004167CB">
      <w:pPr>
        <w:pStyle w:val="NormalWeb"/>
        <w:spacing w:before="0" w:beforeAutospacing="0" w:after="0" w:afterAutospacing="0"/>
        <w:textAlignment w:val="baseline"/>
        <w:rPr>
          <w:color w:val="C45911" w:themeColor="accent2" w:themeShade="BF"/>
        </w:rPr>
      </w:pPr>
      <w:r>
        <w:rPr>
          <w:color w:val="C45911" w:themeColor="accent2" w:themeShade="BF"/>
        </w:rPr>
        <w:t>servicecommercial@owen</w:t>
      </w:r>
      <w:r w:rsidR="008B6B02">
        <w:rPr>
          <w:color w:val="C45911" w:themeColor="accent2" w:themeShade="BF"/>
        </w:rPr>
        <w:t>roderick</w:t>
      </w:r>
      <w:r>
        <w:rPr>
          <w:color w:val="C45911" w:themeColor="accent2" w:themeShade="BF"/>
        </w:rPr>
        <w:t>.fr</w:t>
      </w:r>
      <w:r w:rsidR="009E6F11" w:rsidRPr="00401A94">
        <w:rPr>
          <w:color w:val="C45911" w:themeColor="accent2" w:themeShade="BF"/>
        </w:rPr>
        <w:br/>
      </w:r>
    </w:p>
    <w:p w14:paraId="6A9C6671" w14:textId="47989491" w:rsidR="009E6F11" w:rsidRPr="002670CF" w:rsidRDefault="002670CF" w:rsidP="002670CF">
      <w:pPr>
        <w:spacing w:before="240" w:after="240" w:line="360" w:lineRule="atLeast"/>
        <w:ind w:left="45" w:right="45"/>
        <w:jc w:val="right"/>
        <w:rPr>
          <w:color w:val="000000"/>
        </w:rPr>
      </w:pPr>
      <w:r>
        <w:rPr>
          <w:i/>
          <w:iCs/>
          <w:color w:val="000000"/>
        </w:rPr>
        <w:t xml:space="preserve">Date d'entrée en vigueur : </w:t>
      </w:r>
      <w:r>
        <w:rPr>
          <w:color w:val="000000"/>
        </w:rPr>
        <w:t>le 10 mai 2021.</w:t>
      </w:r>
    </w:p>
    <w:sectPr w:rsidR="009E6F11" w:rsidRPr="002670CF">
      <w:footerReference w:type="default" r:id="rId8"/>
      <w:pgSz w:w="12240" w:h="15840"/>
      <w:pgMar w:top="1440" w:right="864"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3DF2" w14:textId="77777777" w:rsidR="00EF22B6" w:rsidRDefault="00EF22B6">
      <w:r>
        <w:separator/>
      </w:r>
    </w:p>
  </w:endnote>
  <w:endnote w:type="continuationSeparator" w:id="0">
    <w:p w14:paraId="07D67751" w14:textId="77777777" w:rsidR="00EF22B6" w:rsidRDefault="00EF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3457"/>
    </w:tblGrid>
    <w:tr w:rsidR="009E6F11" w14:paraId="4AF81806" w14:textId="77777777">
      <w:trPr>
        <w:cantSplit/>
      </w:trPr>
      <w:tc>
        <w:tcPr>
          <w:tcW w:w="3300" w:type="pct"/>
          <w:tcBorders>
            <w:top w:val="nil"/>
            <w:left w:val="nil"/>
            <w:bottom w:val="nil"/>
            <w:right w:val="nil"/>
          </w:tcBorders>
          <w:vAlign w:val="bottom"/>
        </w:tcPr>
        <w:p w14:paraId="4352C3DF" w14:textId="65815687" w:rsidR="009E6F11" w:rsidRDefault="009E6F11">
          <w:pPr>
            <w:rPr>
              <w:sz w:val="16"/>
            </w:rPr>
          </w:pPr>
          <w:r>
            <w:rPr>
              <w:sz w:val="16"/>
            </w:rPr>
            <w:fldChar w:fldCharType="begin"/>
          </w:r>
          <w:r>
            <w:rPr>
              <w:sz w:val="16"/>
            </w:rPr>
            <w:instrText>IF "</w:instrText>
          </w:r>
          <w:r>
            <w:rPr>
              <w:sz w:val="16"/>
            </w:rPr>
            <w:fldChar w:fldCharType="begin"/>
          </w:r>
          <w:r>
            <w:rPr>
              <w:sz w:val="16"/>
            </w:rPr>
            <w:instrText>PAGE</w:instrText>
          </w:r>
          <w:r>
            <w:rPr>
              <w:sz w:val="16"/>
            </w:rPr>
            <w:fldChar w:fldCharType="separate"/>
          </w:r>
          <w:r w:rsidR="00BD179F">
            <w:rPr>
              <w:noProof/>
              <w:sz w:val="16"/>
            </w:rPr>
            <w:instrText>2</w:instrText>
          </w:r>
          <w:r>
            <w:rPr>
              <w:sz w:val="16"/>
            </w:rPr>
            <w:fldChar w:fldCharType="end"/>
          </w:r>
          <w:r>
            <w:rPr>
              <w:sz w:val="16"/>
            </w:rPr>
            <w:instrText>" = "</w:instrText>
          </w:r>
          <w:r>
            <w:rPr>
              <w:sz w:val="16"/>
            </w:rPr>
            <w:fldChar w:fldCharType="begin"/>
          </w:r>
          <w:r>
            <w:rPr>
              <w:sz w:val="16"/>
            </w:rPr>
            <w:instrText>NUMPAGES</w:instrText>
          </w:r>
          <w:r>
            <w:rPr>
              <w:sz w:val="16"/>
            </w:rPr>
            <w:fldChar w:fldCharType="separate"/>
          </w:r>
          <w:r w:rsidR="00BD179F">
            <w:rPr>
              <w:noProof/>
              <w:sz w:val="16"/>
            </w:rPr>
            <w:instrText>4</w:instrText>
          </w:r>
          <w:r>
            <w:rPr>
              <w:sz w:val="16"/>
            </w:rPr>
            <w:fldChar w:fldCharType="end"/>
          </w:r>
          <w:r>
            <w:rPr>
              <w:sz w:val="16"/>
            </w:rPr>
            <w:instrText>" "© 2002-2021, DocumentsLégaux™" ""</w:instrText>
          </w:r>
          <w:r>
            <w:rPr>
              <w:sz w:val="16"/>
            </w:rPr>
            <w:fldChar w:fldCharType="end"/>
          </w:r>
        </w:p>
      </w:tc>
      <w:tc>
        <w:tcPr>
          <w:tcW w:w="1650" w:type="pct"/>
          <w:tcBorders>
            <w:top w:val="nil"/>
            <w:left w:val="nil"/>
            <w:bottom w:val="nil"/>
            <w:right w:val="nil"/>
          </w:tcBorders>
          <w:vAlign w:val="bottom"/>
        </w:tcPr>
        <w:p w14:paraId="593114CE" w14:textId="77777777" w:rsidR="009E6F11" w:rsidRDefault="009E6F11">
          <w:pPr>
            <w:jc w:val="right"/>
            <w:rPr>
              <w:sz w:val="22"/>
            </w:rPr>
          </w:pPr>
          <w:r>
            <w:rPr>
              <w:sz w:val="22"/>
            </w:rPr>
            <w:t xml:space="preserve">Page </w:t>
          </w:r>
          <w:r>
            <w:rPr>
              <w:sz w:val="22"/>
            </w:rPr>
            <w:fldChar w:fldCharType="begin"/>
          </w:r>
          <w:r>
            <w:rPr>
              <w:sz w:val="22"/>
            </w:rPr>
            <w:instrText>PAGE</w:instrText>
          </w:r>
          <w:r>
            <w:rPr>
              <w:sz w:val="22"/>
            </w:rPr>
            <w:fldChar w:fldCharType="separate"/>
          </w:r>
          <w:r w:rsidR="00D62170">
            <w:rPr>
              <w:noProof/>
              <w:sz w:val="22"/>
            </w:rPr>
            <w:t>1</w:t>
          </w:r>
          <w:r>
            <w:rPr>
              <w:sz w:val="22"/>
            </w:rPr>
            <w:fldChar w:fldCharType="end"/>
          </w:r>
          <w:r>
            <w:rPr>
              <w:sz w:val="22"/>
            </w:rPr>
            <w:t xml:space="preserve"> of </w:t>
          </w:r>
          <w:r>
            <w:rPr>
              <w:sz w:val="22"/>
            </w:rPr>
            <w:fldChar w:fldCharType="begin"/>
          </w:r>
          <w:r>
            <w:rPr>
              <w:sz w:val="22"/>
            </w:rPr>
            <w:instrText>NUMPAGES</w:instrText>
          </w:r>
          <w:r>
            <w:rPr>
              <w:sz w:val="22"/>
            </w:rPr>
            <w:fldChar w:fldCharType="separate"/>
          </w:r>
          <w:r w:rsidR="00D62170">
            <w:rPr>
              <w:noProof/>
              <w:sz w:val="22"/>
            </w:rPr>
            <w:t>2</w:t>
          </w:r>
          <w:r>
            <w:rPr>
              <w:sz w:val="22"/>
            </w:rPr>
            <w:fldChar w:fldCharType="end"/>
          </w:r>
        </w:p>
      </w:tc>
    </w:tr>
  </w:tbl>
  <w:p w14:paraId="2ABE7B51" w14:textId="77777777" w:rsidR="009E6F11" w:rsidRDefault="009E6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A449" w14:textId="77777777" w:rsidR="00EF22B6" w:rsidRDefault="00EF22B6">
      <w:r>
        <w:separator/>
      </w:r>
    </w:p>
  </w:footnote>
  <w:footnote w:type="continuationSeparator" w:id="0">
    <w:p w14:paraId="4F303A5E" w14:textId="77777777" w:rsidR="00EF22B6" w:rsidRDefault="00EF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0AA1DAC">
      <w:start w:val="1"/>
      <w:numFmt w:val="bullet"/>
      <w:lvlText w:val=""/>
      <w:lvlJc w:val="left"/>
      <w:pPr>
        <w:ind w:left="720" w:hanging="360"/>
      </w:pPr>
      <w:rPr>
        <w:rFonts w:ascii="Symbol" w:hAnsi="Symbol"/>
      </w:rPr>
    </w:lvl>
    <w:lvl w:ilvl="1" w:tplc="A48AC404">
      <w:start w:val="1"/>
      <w:numFmt w:val="bullet"/>
      <w:lvlText w:val="o"/>
      <w:lvlJc w:val="left"/>
      <w:pPr>
        <w:tabs>
          <w:tab w:val="num" w:pos="1440"/>
        </w:tabs>
        <w:ind w:left="1440" w:hanging="360"/>
      </w:pPr>
      <w:rPr>
        <w:rFonts w:ascii="Courier New" w:hAnsi="Courier New"/>
      </w:rPr>
    </w:lvl>
    <w:lvl w:ilvl="2" w:tplc="815639C2">
      <w:start w:val="1"/>
      <w:numFmt w:val="bullet"/>
      <w:lvlText w:val=""/>
      <w:lvlJc w:val="left"/>
      <w:pPr>
        <w:tabs>
          <w:tab w:val="num" w:pos="2160"/>
        </w:tabs>
        <w:ind w:left="2160" w:hanging="360"/>
      </w:pPr>
      <w:rPr>
        <w:rFonts w:ascii="Wingdings" w:hAnsi="Wingdings"/>
      </w:rPr>
    </w:lvl>
    <w:lvl w:ilvl="3" w:tplc="1FDA35CE">
      <w:start w:val="1"/>
      <w:numFmt w:val="bullet"/>
      <w:lvlText w:val=""/>
      <w:lvlJc w:val="left"/>
      <w:pPr>
        <w:tabs>
          <w:tab w:val="num" w:pos="2880"/>
        </w:tabs>
        <w:ind w:left="2880" w:hanging="360"/>
      </w:pPr>
      <w:rPr>
        <w:rFonts w:ascii="Symbol" w:hAnsi="Symbol"/>
      </w:rPr>
    </w:lvl>
    <w:lvl w:ilvl="4" w:tplc="9B2C5E48">
      <w:start w:val="1"/>
      <w:numFmt w:val="bullet"/>
      <w:lvlText w:val="o"/>
      <w:lvlJc w:val="left"/>
      <w:pPr>
        <w:tabs>
          <w:tab w:val="num" w:pos="3600"/>
        </w:tabs>
        <w:ind w:left="3600" w:hanging="360"/>
      </w:pPr>
      <w:rPr>
        <w:rFonts w:ascii="Courier New" w:hAnsi="Courier New"/>
      </w:rPr>
    </w:lvl>
    <w:lvl w:ilvl="5" w:tplc="5FDA81EE">
      <w:start w:val="1"/>
      <w:numFmt w:val="bullet"/>
      <w:lvlText w:val=""/>
      <w:lvlJc w:val="left"/>
      <w:pPr>
        <w:tabs>
          <w:tab w:val="num" w:pos="4320"/>
        </w:tabs>
        <w:ind w:left="4320" w:hanging="360"/>
      </w:pPr>
      <w:rPr>
        <w:rFonts w:ascii="Wingdings" w:hAnsi="Wingdings"/>
      </w:rPr>
    </w:lvl>
    <w:lvl w:ilvl="6" w:tplc="0CDEF3CA">
      <w:start w:val="1"/>
      <w:numFmt w:val="bullet"/>
      <w:lvlText w:val=""/>
      <w:lvlJc w:val="left"/>
      <w:pPr>
        <w:tabs>
          <w:tab w:val="num" w:pos="5040"/>
        </w:tabs>
        <w:ind w:left="5040" w:hanging="360"/>
      </w:pPr>
      <w:rPr>
        <w:rFonts w:ascii="Symbol" w:hAnsi="Symbol"/>
      </w:rPr>
    </w:lvl>
    <w:lvl w:ilvl="7" w:tplc="22D83532">
      <w:start w:val="1"/>
      <w:numFmt w:val="bullet"/>
      <w:lvlText w:val="o"/>
      <w:lvlJc w:val="left"/>
      <w:pPr>
        <w:tabs>
          <w:tab w:val="num" w:pos="5760"/>
        </w:tabs>
        <w:ind w:left="5760" w:hanging="360"/>
      </w:pPr>
      <w:rPr>
        <w:rFonts w:ascii="Courier New" w:hAnsi="Courier New"/>
      </w:rPr>
    </w:lvl>
    <w:lvl w:ilvl="8" w:tplc="066831D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C3C752A">
      <w:start w:val="1"/>
      <w:numFmt w:val="bullet"/>
      <w:lvlText w:val=""/>
      <w:lvlJc w:val="left"/>
      <w:pPr>
        <w:ind w:left="720" w:hanging="360"/>
      </w:pPr>
      <w:rPr>
        <w:rFonts w:ascii="Symbol" w:hAnsi="Symbol"/>
      </w:rPr>
    </w:lvl>
    <w:lvl w:ilvl="1" w:tplc="2C0E8670">
      <w:start w:val="1"/>
      <w:numFmt w:val="bullet"/>
      <w:lvlText w:val="o"/>
      <w:lvlJc w:val="left"/>
      <w:pPr>
        <w:tabs>
          <w:tab w:val="num" w:pos="1440"/>
        </w:tabs>
        <w:ind w:left="1440" w:hanging="360"/>
      </w:pPr>
      <w:rPr>
        <w:rFonts w:ascii="Courier New" w:hAnsi="Courier New"/>
      </w:rPr>
    </w:lvl>
    <w:lvl w:ilvl="2" w:tplc="DE1C68C8">
      <w:start w:val="1"/>
      <w:numFmt w:val="bullet"/>
      <w:lvlText w:val=""/>
      <w:lvlJc w:val="left"/>
      <w:pPr>
        <w:tabs>
          <w:tab w:val="num" w:pos="2160"/>
        </w:tabs>
        <w:ind w:left="2160" w:hanging="360"/>
      </w:pPr>
      <w:rPr>
        <w:rFonts w:ascii="Wingdings" w:hAnsi="Wingdings"/>
      </w:rPr>
    </w:lvl>
    <w:lvl w:ilvl="3" w:tplc="4C8E3888">
      <w:start w:val="1"/>
      <w:numFmt w:val="bullet"/>
      <w:lvlText w:val=""/>
      <w:lvlJc w:val="left"/>
      <w:pPr>
        <w:tabs>
          <w:tab w:val="num" w:pos="2880"/>
        </w:tabs>
        <w:ind w:left="2880" w:hanging="360"/>
      </w:pPr>
      <w:rPr>
        <w:rFonts w:ascii="Symbol" w:hAnsi="Symbol"/>
      </w:rPr>
    </w:lvl>
    <w:lvl w:ilvl="4" w:tplc="18D04618">
      <w:start w:val="1"/>
      <w:numFmt w:val="bullet"/>
      <w:lvlText w:val="o"/>
      <w:lvlJc w:val="left"/>
      <w:pPr>
        <w:tabs>
          <w:tab w:val="num" w:pos="3600"/>
        </w:tabs>
        <w:ind w:left="3600" w:hanging="360"/>
      </w:pPr>
      <w:rPr>
        <w:rFonts w:ascii="Courier New" w:hAnsi="Courier New"/>
      </w:rPr>
    </w:lvl>
    <w:lvl w:ilvl="5" w:tplc="652E0C9A">
      <w:start w:val="1"/>
      <w:numFmt w:val="bullet"/>
      <w:lvlText w:val=""/>
      <w:lvlJc w:val="left"/>
      <w:pPr>
        <w:tabs>
          <w:tab w:val="num" w:pos="4320"/>
        </w:tabs>
        <w:ind w:left="4320" w:hanging="360"/>
      </w:pPr>
      <w:rPr>
        <w:rFonts w:ascii="Wingdings" w:hAnsi="Wingdings"/>
      </w:rPr>
    </w:lvl>
    <w:lvl w:ilvl="6" w:tplc="D8F25E76">
      <w:start w:val="1"/>
      <w:numFmt w:val="bullet"/>
      <w:lvlText w:val=""/>
      <w:lvlJc w:val="left"/>
      <w:pPr>
        <w:tabs>
          <w:tab w:val="num" w:pos="5040"/>
        </w:tabs>
        <w:ind w:left="5040" w:hanging="360"/>
      </w:pPr>
      <w:rPr>
        <w:rFonts w:ascii="Symbol" w:hAnsi="Symbol"/>
      </w:rPr>
    </w:lvl>
    <w:lvl w:ilvl="7" w:tplc="5C94FEBC">
      <w:start w:val="1"/>
      <w:numFmt w:val="bullet"/>
      <w:lvlText w:val="o"/>
      <w:lvlJc w:val="left"/>
      <w:pPr>
        <w:tabs>
          <w:tab w:val="num" w:pos="5760"/>
        </w:tabs>
        <w:ind w:left="5760" w:hanging="360"/>
      </w:pPr>
      <w:rPr>
        <w:rFonts w:ascii="Courier New" w:hAnsi="Courier New"/>
      </w:rPr>
    </w:lvl>
    <w:lvl w:ilvl="8" w:tplc="0D024D5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D5C383E">
      <w:start w:val="1"/>
      <w:numFmt w:val="bullet"/>
      <w:lvlText w:val=""/>
      <w:lvlJc w:val="left"/>
      <w:pPr>
        <w:ind w:left="720" w:hanging="360"/>
      </w:pPr>
      <w:rPr>
        <w:rFonts w:ascii="Symbol" w:hAnsi="Symbol"/>
      </w:rPr>
    </w:lvl>
    <w:lvl w:ilvl="1" w:tplc="F97A3E8A">
      <w:start w:val="1"/>
      <w:numFmt w:val="bullet"/>
      <w:lvlText w:val="o"/>
      <w:lvlJc w:val="left"/>
      <w:pPr>
        <w:tabs>
          <w:tab w:val="num" w:pos="1440"/>
        </w:tabs>
        <w:ind w:left="1440" w:hanging="360"/>
      </w:pPr>
      <w:rPr>
        <w:rFonts w:ascii="Courier New" w:hAnsi="Courier New"/>
      </w:rPr>
    </w:lvl>
    <w:lvl w:ilvl="2" w:tplc="A2D4069A">
      <w:start w:val="1"/>
      <w:numFmt w:val="bullet"/>
      <w:lvlText w:val=""/>
      <w:lvlJc w:val="left"/>
      <w:pPr>
        <w:tabs>
          <w:tab w:val="num" w:pos="2160"/>
        </w:tabs>
        <w:ind w:left="2160" w:hanging="360"/>
      </w:pPr>
      <w:rPr>
        <w:rFonts w:ascii="Wingdings" w:hAnsi="Wingdings"/>
      </w:rPr>
    </w:lvl>
    <w:lvl w:ilvl="3" w:tplc="A91C149A">
      <w:start w:val="1"/>
      <w:numFmt w:val="bullet"/>
      <w:lvlText w:val=""/>
      <w:lvlJc w:val="left"/>
      <w:pPr>
        <w:tabs>
          <w:tab w:val="num" w:pos="2880"/>
        </w:tabs>
        <w:ind w:left="2880" w:hanging="360"/>
      </w:pPr>
      <w:rPr>
        <w:rFonts w:ascii="Symbol" w:hAnsi="Symbol"/>
      </w:rPr>
    </w:lvl>
    <w:lvl w:ilvl="4" w:tplc="C82AAA78">
      <w:start w:val="1"/>
      <w:numFmt w:val="bullet"/>
      <w:lvlText w:val="o"/>
      <w:lvlJc w:val="left"/>
      <w:pPr>
        <w:tabs>
          <w:tab w:val="num" w:pos="3600"/>
        </w:tabs>
        <w:ind w:left="3600" w:hanging="360"/>
      </w:pPr>
      <w:rPr>
        <w:rFonts w:ascii="Courier New" w:hAnsi="Courier New"/>
      </w:rPr>
    </w:lvl>
    <w:lvl w:ilvl="5" w:tplc="5F6C2CAE">
      <w:start w:val="1"/>
      <w:numFmt w:val="bullet"/>
      <w:lvlText w:val=""/>
      <w:lvlJc w:val="left"/>
      <w:pPr>
        <w:tabs>
          <w:tab w:val="num" w:pos="4320"/>
        </w:tabs>
        <w:ind w:left="4320" w:hanging="360"/>
      </w:pPr>
      <w:rPr>
        <w:rFonts w:ascii="Wingdings" w:hAnsi="Wingdings"/>
      </w:rPr>
    </w:lvl>
    <w:lvl w:ilvl="6" w:tplc="67E8B80C">
      <w:start w:val="1"/>
      <w:numFmt w:val="bullet"/>
      <w:lvlText w:val=""/>
      <w:lvlJc w:val="left"/>
      <w:pPr>
        <w:tabs>
          <w:tab w:val="num" w:pos="5040"/>
        </w:tabs>
        <w:ind w:left="5040" w:hanging="360"/>
      </w:pPr>
      <w:rPr>
        <w:rFonts w:ascii="Symbol" w:hAnsi="Symbol"/>
      </w:rPr>
    </w:lvl>
    <w:lvl w:ilvl="7" w:tplc="211EC67A">
      <w:start w:val="1"/>
      <w:numFmt w:val="bullet"/>
      <w:lvlText w:val="o"/>
      <w:lvlJc w:val="left"/>
      <w:pPr>
        <w:tabs>
          <w:tab w:val="num" w:pos="5760"/>
        </w:tabs>
        <w:ind w:left="5760" w:hanging="360"/>
      </w:pPr>
      <w:rPr>
        <w:rFonts w:ascii="Courier New" w:hAnsi="Courier New"/>
      </w:rPr>
    </w:lvl>
    <w:lvl w:ilvl="8" w:tplc="AF9691B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7700366">
    <w:abstractNumId w:val="0"/>
  </w:num>
  <w:num w:numId="2" w16cid:durableId="134106540">
    <w:abstractNumId w:val="1"/>
  </w:num>
  <w:num w:numId="3" w16cid:durableId="1348796709">
    <w:abstractNumId w:val="2"/>
  </w:num>
  <w:num w:numId="4" w16cid:durableId="1254630245">
    <w:abstractNumId w:val="3"/>
  </w:num>
  <w:num w:numId="5" w16cid:durableId="258606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26E0"/>
    <w:rsid w:val="001D108F"/>
    <w:rsid w:val="002670CF"/>
    <w:rsid w:val="002970F9"/>
    <w:rsid w:val="00384004"/>
    <w:rsid w:val="003960E3"/>
    <w:rsid w:val="003E7D95"/>
    <w:rsid w:val="00401A94"/>
    <w:rsid w:val="00412C5B"/>
    <w:rsid w:val="004167CB"/>
    <w:rsid w:val="0042199A"/>
    <w:rsid w:val="004A29BD"/>
    <w:rsid w:val="00597AFC"/>
    <w:rsid w:val="005D1C12"/>
    <w:rsid w:val="00720817"/>
    <w:rsid w:val="00731469"/>
    <w:rsid w:val="00745B38"/>
    <w:rsid w:val="007B4A56"/>
    <w:rsid w:val="007D25CC"/>
    <w:rsid w:val="008B6B02"/>
    <w:rsid w:val="009E6F11"/>
    <w:rsid w:val="00A127E0"/>
    <w:rsid w:val="00A638AE"/>
    <w:rsid w:val="00A77B3E"/>
    <w:rsid w:val="00A965C4"/>
    <w:rsid w:val="00AB6DD0"/>
    <w:rsid w:val="00B01692"/>
    <w:rsid w:val="00B040A8"/>
    <w:rsid w:val="00B06C76"/>
    <w:rsid w:val="00BB2DD9"/>
    <w:rsid w:val="00BC1A05"/>
    <w:rsid w:val="00BD179F"/>
    <w:rsid w:val="00D62170"/>
    <w:rsid w:val="00D8256C"/>
    <w:rsid w:val="00E00248"/>
    <w:rsid w:val="00E868CC"/>
    <w:rsid w:val="00EF22B6"/>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E35204"/>
  <w15:chartTrackingRefBased/>
  <w15:docId w15:val="{C1C1E7C5-9B56-DA43-B165-D1FE29B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putPage">
    <w:name w:val="outputPage"/>
    <w:basedOn w:val="Normal"/>
    <w:pPr>
      <w:pBdr>
        <w:top w:val="none" w:sz="0" w:space="2" w:color="auto"/>
        <w:left w:val="none" w:sz="0" w:space="2" w:color="auto"/>
        <w:bottom w:val="none" w:sz="0" w:space="2" w:color="auto"/>
        <w:right w:val="none" w:sz="0" w:space="2" w:color="auto"/>
      </w:pBdr>
    </w:pPr>
    <w:rPr>
      <w:color w:val="000000"/>
    </w:rPr>
  </w:style>
  <w:style w:type="paragraph" w:customStyle="1" w:styleId="outputPageli">
    <w:name w:val="outputPage_li"/>
    <w:basedOn w:val="Normal"/>
  </w:style>
  <w:style w:type="paragraph" w:styleId="NormalWeb">
    <w:name w:val="Normal (Web)"/>
    <w:basedOn w:val="Normal"/>
    <w:uiPriority w:val="99"/>
    <w:unhideWhenUsed/>
    <w:rsid w:val="004167CB"/>
    <w:pPr>
      <w:spacing w:before="100" w:beforeAutospacing="1" w:after="100" w:afterAutospacing="1"/>
    </w:pPr>
  </w:style>
  <w:style w:type="character" w:styleId="lev">
    <w:name w:val="Strong"/>
    <w:basedOn w:val="Policepardfaut"/>
    <w:uiPriority w:val="22"/>
    <w:qFormat/>
    <w:rsid w:val="004167CB"/>
    <w:rPr>
      <w:b/>
      <w:bCs/>
    </w:rPr>
  </w:style>
  <w:style w:type="character" w:customStyle="1" w:styleId="apple-converted-space">
    <w:name w:val="apple-converted-space"/>
    <w:basedOn w:val="Policepardfaut"/>
    <w:rsid w:val="004167CB"/>
  </w:style>
  <w:style w:type="character" w:styleId="Lienhypertexte">
    <w:name w:val="Hyperlink"/>
    <w:basedOn w:val="Policepardfaut"/>
    <w:rsid w:val="004167CB"/>
    <w:rPr>
      <w:color w:val="0563C1" w:themeColor="hyperlink"/>
      <w:u w:val="single"/>
    </w:rPr>
  </w:style>
  <w:style w:type="character" w:styleId="Mentionnonrsolue">
    <w:name w:val="Unresolved Mention"/>
    <w:basedOn w:val="Policepardfaut"/>
    <w:uiPriority w:val="99"/>
    <w:semiHidden/>
    <w:unhideWhenUsed/>
    <w:rsid w:val="004167CB"/>
    <w:rPr>
      <w:color w:val="605E5C"/>
      <w:shd w:val="clear" w:color="auto" w:fill="E1DFDD"/>
    </w:rPr>
  </w:style>
  <w:style w:type="paragraph" w:styleId="En-tte">
    <w:name w:val="header"/>
    <w:basedOn w:val="Normal"/>
    <w:link w:val="En-tteCar"/>
    <w:rsid w:val="004167CB"/>
    <w:pPr>
      <w:tabs>
        <w:tab w:val="center" w:pos="4536"/>
        <w:tab w:val="right" w:pos="9072"/>
      </w:tabs>
    </w:pPr>
  </w:style>
  <w:style w:type="character" w:customStyle="1" w:styleId="En-tteCar">
    <w:name w:val="En-tête Car"/>
    <w:basedOn w:val="Policepardfaut"/>
    <w:link w:val="En-tte"/>
    <w:rsid w:val="004167CB"/>
    <w:rPr>
      <w:sz w:val="24"/>
      <w:szCs w:val="24"/>
    </w:rPr>
  </w:style>
  <w:style w:type="paragraph" w:styleId="Pieddepage">
    <w:name w:val="footer"/>
    <w:basedOn w:val="Normal"/>
    <w:link w:val="PieddepageCar"/>
    <w:rsid w:val="004167CB"/>
    <w:pPr>
      <w:tabs>
        <w:tab w:val="center" w:pos="4536"/>
        <w:tab w:val="right" w:pos="9072"/>
      </w:tabs>
    </w:pPr>
  </w:style>
  <w:style w:type="character" w:customStyle="1" w:styleId="PieddepageCar">
    <w:name w:val="Pied de page Car"/>
    <w:basedOn w:val="Policepardfaut"/>
    <w:link w:val="Pieddepage"/>
    <w:rsid w:val="004167CB"/>
    <w:rPr>
      <w:sz w:val="24"/>
      <w:szCs w:val="24"/>
    </w:rPr>
  </w:style>
  <w:style w:type="character" w:styleId="Lienhypertextesuivivisit">
    <w:name w:val="FollowedHyperlink"/>
    <w:basedOn w:val="Policepardfaut"/>
    <w:rsid w:val="00297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4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derickow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990</Words>
  <Characters>5450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DocumentsLégaux Conditions générales d'un site web</vt: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DocumentsLégaux Conditions générales d'un site web</dc:title>
  <dc:subject/>
  <dc:creator>caninroderick09@hotmail.com</dc:creator>
  <cp:keywords/>
  <cp:lastModifiedBy>caninroderick09@hotmail.com</cp:lastModifiedBy>
  <cp:revision>4</cp:revision>
  <cp:lastPrinted>2022-09-05T08:29:00Z</cp:lastPrinted>
  <dcterms:created xsi:type="dcterms:W3CDTF">2022-12-15T08:43:00Z</dcterms:created>
  <dcterms:modified xsi:type="dcterms:W3CDTF">2024-01-28T09:54:00Z</dcterms:modified>
</cp:coreProperties>
</file>